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54D7" w14:textId="77777777" w:rsidR="0031473A" w:rsidRDefault="0031473A">
      <w:pPr>
        <w:rPr>
          <w:rFonts w:ascii="Proxima Nova" w:eastAsia="Proxima Nova" w:hAnsi="Proxima Nova" w:cs="Proxima Nova"/>
          <w:b/>
          <w:color w:val="341C67"/>
          <w:sz w:val="2"/>
          <w:szCs w:val="2"/>
        </w:rPr>
      </w:pPr>
    </w:p>
    <w:tbl>
      <w:tblPr>
        <w:tblW w:w="1078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5"/>
      </w:tblGrid>
      <w:tr w:rsidR="0031473A" w14:paraId="235C26B1" w14:textId="77777777" w:rsidTr="002470D5">
        <w:trPr>
          <w:trHeight w:val="640"/>
        </w:trPr>
        <w:tc>
          <w:tcPr>
            <w:tcW w:w="10785" w:type="dxa"/>
          </w:tcPr>
          <w:p w14:paraId="627D94F8" w14:textId="77777777" w:rsidR="0031473A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color w:val="341C67"/>
                <w:sz w:val="28"/>
                <w:szCs w:val="28"/>
              </w:rPr>
            </w:pPr>
            <w:bookmarkStart w:id="0" w:name="_GoBack" w:colFirst="0" w:colLast="1"/>
          </w:p>
          <w:p w14:paraId="06C8D845" w14:textId="77777777" w:rsidR="0031473A" w:rsidRDefault="002470D5">
            <w:pPr>
              <w:spacing w:line="240" w:lineRule="auto"/>
              <w:rPr>
                <w:rFonts w:ascii="Century Gothic" w:eastAsia="Century Gothic" w:hAnsi="Century Gothic" w:cs="Century Gothic"/>
                <w:b/>
                <w:color w:val="674EA7"/>
                <w:sz w:val="38"/>
                <w:szCs w:val="38"/>
              </w:rPr>
            </w:pPr>
            <w:r>
              <w:rPr>
                <w:rFonts w:ascii="Proxima Nova" w:eastAsia="Proxima Nova" w:hAnsi="Proxima Nova" w:cs="Proxima Nova"/>
                <w:b/>
                <w:color w:val="674EA7"/>
                <w:sz w:val="44"/>
                <w:szCs w:val="44"/>
              </w:rPr>
              <w:t>Assessment Tools</w:t>
            </w:r>
          </w:p>
          <w:p w14:paraId="621D914D" w14:textId="77777777" w:rsidR="0031473A" w:rsidRDefault="002470D5">
            <w:pPr>
              <w:rPr>
                <w:rFonts w:ascii="Proxima Nova" w:eastAsia="Proxima Nova" w:hAnsi="Proxima Nova" w:cs="Proxima Nova"/>
                <w:b/>
                <w:i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i/>
                <w:sz w:val="20"/>
                <w:szCs w:val="20"/>
              </w:rPr>
              <w:t xml:space="preserve">Digging Deep </w:t>
            </w:r>
            <w:proofErr w:type="gramStart"/>
            <w:r>
              <w:rPr>
                <w:rFonts w:ascii="Proxima Nova" w:eastAsia="Proxima Nova" w:hAnsi="Proxima Nova" w:cs="Proxima Nova"/>
                <w:b/>
                <w:i/>
                <w:sz w:val="20"/>
                <w:szCs w:val="20"/>
              </w:rPr>
              <w:t>Into</w:t>
            </w:r>
            <w:proofErr w:type="gramEnd"/>
            <w:r>
              <w:rPr>
                <w:rFonts w:ascii="Proxima Nova" w:eastAsia="Proxima Nova" w:hAnsi="Proxima Nova" w:cs="Proxima Nova"/>
                <w:b/>
                <w:i/>
                <w:sz w:val="20"/>
                <w:szCs w:val="20"/>
              </w:rPr>
              <w:t xml:space="preserve"> Data, February 6, 2024</w:t>
            </w:r>
          </w:p>
        </w:tc>
      </w:tr>
      <w:bookmarkEnd w:id="0"/>
    </w:tbl>
    <w:p w14:paraId="21452779" w14:textId="77777777" w:rsidR="0031473A" w:rsidRDefault="0031473A">
      <w:pPr>
        <w:rPr>
          <w:rFonts w:ascii="Proxima Nova" w:eastAsia="Proxima Nova" w:hAnsi="Proxima Nova" w:cs="Proxima Nova"/>
          <w:b/>
          <w:color w:val="341C67"/>
          <w:sz w:val="2"/>
          <w:szCs w:val="2"/>
        </w:rPr>
      </w:pP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31473A" w14:paraId="07F49640" w14:textId="77777777" w:rsidTr="002470D5">
        <w:trPr>
          <w:trHeight w:val="1288"/>
        </w:trPr>
        <w:tc>
          <w:tcPr>
            <w:tcW w:w="10785" w:type="dxa"/>
          </w:tcPr>
          <w:p w14:paraId="58C910C7" w14:textId="77777777" w:rsidR="002470D5" w:rsidRDefault="002470D5">
            <w:pPr>
              <w:spacing w:line="240" w:lineRule="auto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</w:p>
          <w:p w14:paraId="67AF67CE" w14:textId="3B62CFC2" w:rsidR="002470D5" w:rsidRPr="002470D5" w:rsidRDefault="002470D5">
            <w:pPr>
              <w:spacing w:line="240" w:lineRule="auto"/>
              <w:rPr>
                <w:rFonts w:ascii="Proxima Nova" w:eastAsia="Proxima Nova" w:hAnsi="Proxima Nova" w:cs="Proxima Nova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sz w:val="28"/>
                <w:szCs w:val="28"/>
              </w:rPr>
              <w:t>Commonly Used Assessment Tools</w:t>
            </w:r>
          </w:p>
          <w:p w14:paraId="52978ADF" w14:textId="77777777" w:rsidR="0031473A" w:rsidRDefault="002470D5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*The lists below are only a selection of commonly used assessments and do not represent all available tools for assessing these areas. </w:t>
            </w:r>
          </w:p>
          <w:p w14:paraId="1AB76042" w14:textId="77777777" w:rsidR="0031473A" w:rsidRDefault="0031473A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4D34D9A9" w14:textId="77777777" w:rsidR="0031473A" w:rsidRDefault="002470D5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Common Individualized Standardized Tests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3345"/>
        <w:gridCol w:w="3645"/>
      </w:tblGrid>
      <w:tr w:rsidR="0031473A" w14:paraId="617C5162" w14:textId="77777777" w:rsidTr="002470D5">
        <w:trPr>
          <w:trHeight w:val="3770"/>
        </w:trPr>
        <w:tc>
          <w:tcPr>
            <w:tcW w:w="3810" w:type="dxa"/>
          </w:tcPr>
          <w:p w14:paraId="7F8EFC03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Academic/Achievement</w:t>
            </w:r>
          </w:p>
          <w:p w14:paraId="2B66F434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KTEA-3, 2014</w:t>
            </w:r>
          </w:p>
          <w:p w14:paraId="27B34523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WIAT-4, 2020</w:t>
            </w:r>
          </w:p>
          <w:p w14:paraId="237005D1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WJ-IV Ach, 2014</w:t>
            </w:r>
          </w:p>
          <w:p w14:paraId="1B9BDBF3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WRAT-5, 2017</w:t>
            </w:r>
          </w:p>
          <w:p w14:paraId="4551B585" w14:textId="77777777" w:rsidR="0031473A" w:rsidRDefault="00314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 w14:paraId="6AAD8AA7" w14:textId="77777777" w:rsidR="0031473A" w:rsidRDefault="002470D5">
            <w:pPr>
              <w:widowControl w:val="0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Communication</w:t>
            </w:r>
          </w:p>
          <w:p w14:paraId="1EAD129E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CASL-2, 2017</w:t>
            </w:r>
          </w:p>
          <w:p w14:paraId="70B00B17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CELF-4, 2004</w:t>
            </w:r>
          </w:p>
          <w:p w14:paraId="2CA66D70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EVT-3, 2018</w:t>
            </w:r>
          </w:p>
          <w:p w14:paraId="07C133BD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GFTA-3, 2015</w:t>
            </w:r>
          </w:p>
          <w:p w14:paraId="19EA892B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PLS-5, 2010</w:t>
            </w:r>
          </w:p>
          <w:p w14:paraId="559CF03D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PPVT-5, 2018</w:t>
            </w:r>
          </w:p>
        </w:tc>
        <w:tc>
          <w:tcPr>
            <w:tcW w:w="3345" w:type="dxa"/>
          </w:tcPr>
          <w:p w14:paraId="00B94827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Full Cognitive</w:t>
            </w:r>
          </w:p>
          <w:p w14:paraId="5F11BA89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K-ABC-II (NU), 2018</w:t>
            </w:r>
          </w:p>
          <w:p w14:paraId="462E06B7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WISC-V, 2015</w:t>
            </w:r>
          </w:p>
          <w:p w14:paraId="6EC483D4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WPPSI-IV, 2012</w:t>
            </w:r>
          </w:p>
          <w:p w14:paraId="040244B2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WJ-IV-Cog, 2014 </w:t>
            </w:r>
          </w:p>
          <w:p w14:paraId="66120AB2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*Stanford-Binet-5, 2003</w:t>
            </w:r>
          </w:p>
          <w:p w14:paraId="5D314B0B" w14:textId="77777777" w:rsidR="0031473A" w:rsidRDefault="00314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 w14:paraId="4718D2EA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Nonverbal Cognitive</w:t>
            </w:r>
          </w:p>
          <w:p w14:paraId="1E6046C2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CTONI-2, 2009</w:t>
            </w:r>
          </w:p>
          <w:p w14:paraId="6E873B98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Leiter-3, 2013</w:t>
            </w:r>
          </w:p>
          <w:p w14:paraId="55061C1F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TONI-4, 2010</w:t>
            </w:r>
          </w:p>
          <w:p w14:paraId="6671AC4C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UNIT-2, 2018</w:t>
            </w:r>
          </w:p>
        </w:tc>
        <w:tc>
          <w:tcPr>
            <w:tcW w:w="3645" w:type="dxa"/>
          </w:tcPr>
          <w:p w14:paraId="31EBD40D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Developmental</w:t>
            </w:r>
          </w:p>
          <w:p w14:paraId="3F32B48A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Bayley-4, 2019</w:t>
            </w:r>
          </w:p>
          <w:p w14:paraId="1744E65B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BBCS-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4:R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 2022</w:t>
            </w:r>
          </w:p>
          <w:p w14:paraId="4945EAD4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DAYC-2, 2012</w:t>
            </w:r>
          </w:p>
          <w:p w14:paraId="1A4EA295" w14:textId="77777777" w:rsidR="0031473A" w:rsidRPr="002470D5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  <w:lang w:val="es-EC"/>
              </w:rPr>
            </w:pPr>
            <w:r w:rsidRPr="002470D5">
              <w:rPr>
                <w:rFonts w:ascii="Century Gothic" w:eastAsia="Century Gothic" w:hAnsi="Century Gothic" w:cs="Century Gothic"/>
                <w:sz w:val="24"/>
                <w:szCs w:val="24"/>
                <w:lang w:val="es-EC"/>
              </w:rPr>
              <w:t>DIAL-4, 2011</w:t>
            </w:r>
          </w:p>
          <w:p w14:paraId="55BFE041" w14:textId="77777777" w:rsidR="0031473A" w:rsidRPr="002470D5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  <w:lang w:val="es-EC"/>
              </w:rPr>
            </w:pPr>
            <w:r w:rsidRPr="002470D5">
              <w:rPr>
                <w:rFonts w:ascii="Century Gothic" w:eastAsia="Century Gothic" w:hAnsi="Century Gothic" w:cs="Century Gothic"/>
                <w:sz w:val="24"/>
                <w:szCs w:val="24"/>
                <w:lang w:val="es-EC"/>
              </w:rPr>
              <w:t>WJ-ECAD, 2014</w:t>
            </w:r>
          </w:p>
          <w:p w14:paraId="3D0B0B4F" w14:textId="77777777" w:rsidR="0031473A" w:rsidRPr="002470D5" w:rsidRDefault="00314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  <w:lang w:val="es-EC"/>
              </w:rPr>
            </w:pPr>
          </w:p>
          <w:p w14:paraId="6BBDAC8A" w14:textId="77777777" w:rsidR="0031473A" w:rsidRPr="002470D5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  <w:lang w:val="es-EC"/>
              </w:rPr>
            </w:pPr>
            <w:proofErr w:type="spellStart"/>
            <w:r w:rsidRPr="002470D5"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  <w:lang w:val="es-EC"/>
              </w:rPr>
              <w:t>Autism</w:t>
            </w:r>
            <w:proofErr w:type="spellEnd"/>
          </w:p>
          <w:p w14:paraId="669117FA" w14:textId="77777777" w:rsidR="0031473A" w:rsidRPr="002470D5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  <w:lang w:val="es-EC"/>
              </w:rPr>
            </w:pPr>
            <w:r w:rsidRPr="002470D5">
              <w:rPr>
                <w:rFonts w:ascii="Century Gothic" w:eastAsia="Century Gothic" w:hAnsi="Century Gothic" w:cs="Century Gothic"/>
                <w:sz w:val="24"/>
                <w:szCs w:val="24"/>
                <w:lang w:val="es-EC"/>
              </w:rPr>
              <w:t>ADI-R, 2003</w:t>
            </w:r>
          </w:p>
          <w:p w14:paraId="6751B6BF" w14:textId="77777777" w:rsidR="0031473A" w:rsidRPr="002470D5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  <w:lang w:val="es-EC"/>
              </w:rPr>
            </w:pPr>
            <w:r w:rsidRPr="002470D5">
              <w:rPr>
                <w:rFonts w:ascii="Century Gothic" w:eastAsia="Century Gothic" w:hAnsi="Century Gothic" w:cs="Century Gothic"/>
                <w:sz w:val="24"/>
                <w:szCs w:val="24"/>
                <w:lang w:val="es-EC"/>
              </w:rPr>
              <w:t xml:space="preserve">ADOS-2, 2012 </w:t>
            </w:r>
          </w:p>
          <w:p w14:paraId="44DCB0ED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CARS-2, 2010</w:t>
            </w:r>
          </w:p>
        </w:tc>
      </w:tr>
    </w:tbl>
    <w:p w14:paraId="794AFBE8" w14:textId="77777777" w:rsidR="0031473A" w:rsidRDefault="0031473A">
      <w:pPr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4CAEF548" w14:textId="77777777" w:rsidR="0031473A" w:rsidRDefault="002470D5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Common Standardized Rating Forms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3390"/>
        <w:gridCol w:w="3600"/>
      </w:tblGrid>
      <w:tr w:rsidR="0031473A" w14:paraId="3822D485" w14:textId="77777777" w:rsidTr="002470D5">
        <w:trPr>
          <w:trHeight w:val="3086"/>
        </w:trPr>
        <w:tc>
          <w:tcPr>
            <w:tcW w:w="3810" w:type="dxa"/>
          </w:tcPr>
          <w:p w14:paraId="6F04AAB0" w14:textId="77777777" w:rsidR="0031473A" w:rsidRDefault="002470D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Adaptive Behavior</w:t>
            </w:r>
          </w:p>
          <w:p w14:paraId="2115127B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ABAS-3, 2015</w:t>
            </w:r>
          </w:p>
          <w:p w14:paraId="4072CBEE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Vineland-3, 2016</w:t>
            </w:r>
          </w:p>
          <w:p w14:paraId="0F063BBC" w14:textId="77777777" w:rsidR="0031473A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 w14:paraId="7D2E5FB4" w14:textId="77777777" w:rsidR="0031473A" w:rsidRDefault="002470D5">
            <w:pPr>
              <w:widowControl w:val="0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Autism</w:t>
            </w:r>
          </w:p>
          <w:p w14:paraId="771A765F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ASRS, 2009</w:t>
            </w:r>
          </w:p>
          <w:p w14:paraId="4D3C0FA0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GARS-3, 2013</w:t>
            </w:r>
          </w:p>
          <w:p w14:paraId="1430435F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SRS-2, 2012</w:t>
            </w:r>
          </w:p>
        </w:tc>
        <w:tc>
          <w:tcPr>
            <w:tcW w:w="3390" w:type="dxa"/>
          </w:tcPr>
          <w:p w14:paraId="1A95499D" w14:textId="77777777" w:rsidR="0031473A" w:rsidRDefault="002470D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Behavior</w:t>
            </w:r>
          </w:p>
          <w:p w14:paraId="6C35C50E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BASC-3, 2015</w:t>
            </w:r>
          </w:p>
          <w:p w14:paraId="65D58CB1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BRIEF-2, 2015</w:t>
            </w:r>
          </w:p>
          <w:p w14:paraId="4C833DA3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Conners-4, 2023 </w:t>
            </w:r>
          </w:p>
          <w:p w14:paraId="61E08029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CBRS, 2008</w:t>
            </w:r>
          </w:p>
          <w:p w14:paraId="7CA19EF3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Conners-EC, 2009 </w:t>
            </w:r>
          </w:p>
          <w:p w14:paraId="5F5BCC5B" w14:textId="77777777" w:rsidR="0031473A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FBBB777" w14:textId="77777777" w:rsidR="0031473A" w:rsidRDefault="002470D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Personality</w:t>
            </w:r>
          </w:p>
          <w:p w14:paraId="3F7A4C76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MMPI-A-RF, 2016</w:t>
            </w:r>
          </w:p>
          <w:p w14:paraId="51D42AD9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M-PACI, 2005</w:t>
            </w:r>
          </w:p>
        </w:tc>
        <w:tc>
          <w:tcPr>
            <w:tcW w:w="3600" w:type="dxa"/>
          </w:tcPr>
          <w:p w14:paraId="537CBAD2" w14:textId="77777777" w:rsidR="0031473A" w:rsidRDefault="002470D5">
            <w:pPr>
              <w:widowControl w:val="0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Emotional</w:t>
            </w:r>
          </w:p>
          <w:p w14:paraId="7317EB05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BYI-2, 2005</w:t>
            </w:r>
          </w:p>
          <w:p w14:paraId="77A00BC2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CDI-2, 2010</w:t>
            </w:r>
          </w:p>
          <w:p w14:paraId="51F015E0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MASC-2, 2012</w:t>
            </w:r>
          </w:p>
          <w:p w14:paraId="1E9BEE3E" w14:textId="6938699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RCMAS-2, 2008</w:t>
            </w:r>
          </w:p>
          <w:p w14:paraId="56C7EC62" w14:textId="77777777" w:rsidR="002470D5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 w14:paraId="5F0F793F" w14:textId="77777777" w:rsidR="0031473A" w:rsidRDefault="002470D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Developmental</w:t>
            </w:r>
          </w:p>
          <w:p w14:paraId="6FAB439F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DP-4, 2020</w:t>
            </w:r>
          </w:p>
          <w:p w14:paraId="05696A62" w14:textId="3BEF5FBB" w:rsidR="0031473A" w:rsidRDefault="002470D5" w:rsidP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DBC-2, 2018</w:t>
            </w:r>
          </w:p>
        </w:tc>
      </w:tr>
    </w:tbl>
    <w:p w14:paraId="2B3FBE85" w14:textId="77777777" w:rsidR="0031473A" w:rsidRDefault="0031473A">
      <w:pPr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477CC3BE" w14:textId="77777777" w:rsidR="0031473A" w:rsidRDefault="0031473A">
      <w:pPr>
        <w:rPr>
          <w:rFonts w:ascii="Century Gothic" w:eastAsia="Century Gothic" w:hAnsi="Century Gothic" w:cs="Century Gothic"/>
          <w:sz w:val="16"/>
          <w:szCs w:val="16"/>
        </w:rPr>
      </w:pPr>
    </w:p>
    <w:p w14:paraId="186E182F" w14:textId="77777777" w:rsidR="0031473A" w:rsidRDefault="0031473A">
      <w:pPr>
        <w:rPr>
          <w:rFonts w:ascii="Century Gothic" w:eastAsia="Century Gothic" w:hAnsi="Century Gothic" w:cs="Century Gothic"/>
          <w:sz w:val="16"/>
          <w:szCs w:val="16"/>
        </w:rPr>
      </w:pPr>
    </w:p>
    <w:p w14:paraId="52A2737A" w14:textId="77777777" w:rsidR="0031473A" w:rsidRDefault="0031473A">
      <w:pPr>
        <w:rPr>
          <w:rFonts w:ascii="Century Gothic" w:eastAsia="Century Gothic" w:hAnsi="Century Gothic" w:cs="Century Gothic"/>
          <w:sz w:val="16"/>
          <w:szCs w:val="16"/>
        </w:rPr>
      </w:pPr>
    </w:p>
    <w:p w14:paraId="3D34F633" w14:textId="7D2CA8B2" w:rsidR="0031473A" w:rsidRDefault="002470D5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sz w:val="16"/>
          <w:szCs w:val="16"/>
        </w:rPr>
        <w:br/>
      </w:r>
      <w:r>
        <w:rPr>
          <w:rFonts w:ascii="Century Gothic" w:eastAsia="Century Gothic" w:hAnsi="Century Gothic" w:cs="Century Gothic"/>
          <w:sz w:val="16"/>
          <w:szCs w:val="16"/>
        </w:rPr>
        <w:br/>
      </w:r>
      <w:r>
        <w:rPr>
          <w:rFonts w:ascii="Century Gothic" w:eastAsia="Century Gothic" w:hAnsi="Century Gothic" w:cs="Century Gothic"/>
          <w:b/>
          <w:sz w:val="28"/>
          <w:szCs w:val="28"/>
        </w:rPr>
        <w:br/>
      </w:r>
      <w:r>
        <w:rPr>
          <w:rFonts w:ascii="Century Gothic" w:eastAsia="Century Gothic" w:hAnsi="Century Gothic" w:cs="Century Gothic"/>
          <w:b/>
          <w:sz w:val="28"/>
          <w:szCs w:val="28"/>
        </w:rPr>
        <w:br/>
      </w:r>
      <w:r>
        <w:rPr>
          <w:rFonts w:ascii="Century Gothic" w:eastAsia="Century Gothic" w:hAnsi="Century Gothic" w:cs="Century Gothic"/>
          <w:b/>
          <w:sz w:val="28"/>
          <w:szCs w:val="28"/>
        </w:rPr>
        <w:br/>
      </w:r>
      <w:r>
        <w:rPr>
          <w:rFonts w:ascii="Century Gothic" w:eastAsia="Century Gothic" w:hAnsi="Century Gothic" w:cs="Century Gothic"/>
          <w:b/>
          <w:sz w:val="28"/>
          <w:szCs w:val="28"/>
        </w:rPr>
        <w:br/>
      </w: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br/>
      </w:r>
      <w:r>
        <w:rPr>
          <w:rFonts w:ascii="Century Gothic" w:eastAsia="Century Gothic" w:hAnsi="Century Gothic" w:cs="Century Gothic"/>
          <w:b/>
          <w:sz w:val="28"/>
          <w:szCs w:val="28"/>
        </w:rPr>
        <w:br/>
        <w:t>Common Curriculum Based Measurements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3390"/>
        <w:gridCol w:w="3600"/>
      </w:tblGrid>
      <w:tr w:rsidR="0031473A" w14:paraId="0E4DE129" w14:textId="77777777" w:rsidTr="002470D5">
        <w:trPr>
          <w:trHeight w:val="3840"/>
        </w:trPr>
        <w:tc>
          <w:tcPr>
            <w:tcW w:w="3810" w:type="dxa"/>
          </w:tcPr>
          <w:p w14:paraId="33D5C511" w14:textId="77777777" w:rsidR="0031473A" w:rsidRDefault="002470D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Early Reading Skills</w:t>
            </w:r>
          </w:p>
          <w:p w14:paraId="2AF5DC0B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First sound fluency</w:t>
            </w:r>
          </w:p>
          <w:p w14:paraId="350754AF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Nonsense word fluency</w:t>
            </w:r>
          </w:p>
          <w:p w14:paraId="75488A5F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Phoneme segmentation fluency</w:t>
            </w:r>
          </w:p>
          <w:p w14:paraId="7AF165AE" w14:textId="77777777" w:rsidR="0031473A" w:rsidRDefault="0024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Letter sound fluency</w:t>
            </w:r>
          </w:p>
          <w:p w14:paraId="19D6B821" w14:textId="77777777" w:rsidR="0031473A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  <w:p w14:paraId="5D627D76" w14:textId="77777777" w:rsidR="0031473A" w:rsidRDefault="002470D5">
            <w:pPr>
              <w:widowControl w:val="0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Early Math skills</w:t>
            </w:r>
          </w:p>
          <w:p w14:paraId="26740FE7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Quantity discrimination</w:t>
            </w:r>
          </w:p>
          <w:p w14:paraId="4D92EA4F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Number fluency</w:t>
            </w:r>
          </w:p>
          <w:p w14:paraId="1833A6ED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Number sequencing</w:t>
            </w:r>
          </w:p>
          <w:p w14:paraId="10979DDA" w14:textId="77777777" w:rsidR="0031473A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390" w:type="dxa"/>
          </w:tcPr>
          <w:p w14:paraId="238F802D" w14:textId="77777777" w:rsidR="0031473A" w:rsidRDefault="002470D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Reading/Writing skills</w:t>
            </w:r>
          </w:p>
          <w:p w14:paraId="5334F8DE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Oral Reading Fluency</w:t>
            </w:r>
          </w:p>
          <w:p w14:paraId="323C312B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MAZE (fill in blank-comprehension)</w:t>
            </w:r>
          </w:p>
          <w:p w14:paraId="4A371444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Spelling</w:t>
            </w:r>
          </w:p>
          <w:p w14:paraId="3E113FC8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Written expression</w:t>
            </w:r>
          </w:p>
          <w:p w14:paraId="36C8B5A5" w14:textId="77777777" w:rsidR="0031473A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CED5A8D" w14:textId="77777777" w:rsidR="0031473A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8B7A45F" w14:textId="77777777" w:rsidR="0031473A" w:rsidRDefault="002470D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Math</w:t>
            </w:r>
          </w:p>
          <w:p w14:paraId="48299F7C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Math computation</w:t>
            </w:r>
          </w:p>
          <w:p w14:paraId="7FD8431E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Concepts and applications </w:t>
            </w:r>
          </w:p>
        </w:tc>
        <w:tc>
          <w:tcPr>
            <w:tcW w:w="3600" w:type="dxa"/>
          </w:tcPr>
          <w:p w14:paraId="2693C565" w14:textId="77777777" w:rsidR="0031473A" w:rsidRDefault="002470D5">
            <w:pPr>
              <w:widowControl w:val="0"/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</w:pPr>
            <w:r>
              <w:rPr>
                <w:rFonts w:ascii="Proxima Nova" w:eastAsia="Proxima Nova" w:hAnsi="Proxima Nova" w:cs="Proxima Nova"/>
                <w:b/>
                <w:color w:val="632E62"/>
                <w:sz w:val="28"/>
                <w:szCs w:val="28"/>
              </w:rPr>
              <w:t>CBM Assessment Systems</w:t>
            </w:r>
          </w:p>
          <w:p w14:paraId="0E0871F6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DIBELS/Acadience</w:t>
            </w:r>
          </w:p>
          <w:p w14:paraId="75089BAB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Aimsweb</w:t>
            </w:r>
            <w:proofErr w:type="spellEnd"/>
          </w:p>
          <w:p w14:paraId="6648DCE4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Fast-Bridge</w:t>
            </w:r>
          </w:p>
          <w:p w14:paraId="144EF4B7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Easy CBM</w:t>
            </w:r>
          </w:p>
          <w:p w14:paraId="340EDACF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Amira</w:t>
            </w:r>
          </w:p>
          <w:p w14:paraId="38ED183B" w14:textId="77777777" w:rsidR="0031473A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AC771E3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Some CAT systems have added CBM, such as STAR</w:t>
            </w:r>
          </w:p>
          <w:p w14:paraId="5069053A" w14:textId="77777777" w:rsidR="0031473A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7FA7455" w14:textId="77777777" w:rsidR="0031473A" w:rsidRDefault="002470D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Some CBMs have added CAT including Fast-Bridge and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Aimsweb</w:t>
            </w:r>
            <w:proofErr w:type="spellEnd"/>
          </w:p>
        </w:tc>
      </w:tr>
    </w:tbl>
    <w:p w14:paraId="4C0FAEC5" w14:textId="2B2FEDC0" w:rsidR="002470D5" w:rsidRDefault="002470D5" w:rsidP="00E5236D">
      <w:pPr>
        <w:spacing w:after="720"/>
        <w:rPr>
          <w:rFonts w:ascii="Century Gothic" w:eastAsia="Century Gothic" w:hAnsi="Century Gothic" w:cs="Century Gothic"/>
          <w:sz w:val="16"/>
          <w:szCs w:val="16"/>
        </w:rPr>
      </w:pPr>
      <w:r w:rsidRPr="002470D5">
        <w:rPr>
          <w:rFonts w:ascii="Century Gothic" w:eastAsia="Century Gothic" w:hAnsi="Century Gothic" w:cs="Century Gothic"/>
        </w:rPr>
        <w:t>*CBM- Curriculum Based Measurement, CAT- Computer Adaptive Tests</w:t>
      </w:r>
    </w:p>
    <w:p w14:paraId="79265936" w14:textId="5FD7F21A" w:rsidR="0031473A" w:rsidRDefault="002470D5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How different data is used in the assessment process across identification of disability, to identifying needs, and monitoring progress and response to intervention.</w:t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3570"/>
        <w:gridCol w:w="255"/>
        <w:gridCol w:w="6885"/>
      </w:tblGrid>
      <w:tr w:rsidR="0031473A" w:rsidRPr="00701342" w14:paraId="344F6047" w14:textId="77777777" w:rsidTr="002470D5">
        <w:trPr>
          <w:trHeight w:val="1395"/>
        </w:trPr>
        <w:tc>
          <w:tcPr>
            <w:tcW w:w="3570" w:type="dxa"/>
            <w:shd w:val="clear" w:color="auto" w:fill="000000" w:themeFill="text1"/>
            <w:vAlign w:val="center"/>
          </w:tcPr>
          <w:p w14:paraId="4F395B36" w14:textId="77777777" w:rsidR="0031473A" w:rsidRPr="00701342" w:rsidRDefault="002470D5" w:rsidP="002470D5">
            <w:pPr>
              <w:widowControl w:val="0"/>
              <w:jc w:val="center"/>
              <w:rPr>
                <w:rFonts w:ascii="Century Gothic" w:eastAsia="Proxima Nova" w:hAnsi="Century Gothic" w:cs="Proxima Nova"/>
                <w:b/>
                <w:bCs/>
                <w:color w:val="FFFFFF"/>
                <w:sz w:val="28"/>
                <w:szCs w:val="28"/>
              </w:rPr>
            </w:pPr>
            <w:r w:rsidRPr="00701342">
              <w:rPr>
                <w:rFonts w:ascii="Century Gothic" w:eastAsia="Proxima Nova" w:hAnsi="Century Gothic" w:cs="Proxima Nova"/>
                <w:b/>
                <w:bCs/>
                <w:color w:val="FFFFFF"/>
                <w:sz w:val="28"/>
                <w:szCs w:val="28"/>
              </w:rPr>
              <w:t>Disability Identification</w:t>
            </w:r>
          </w:p>
        </w:tc>
        <w:tc>
          <w:tcPr>
            <w:tcW w:w="255" w:type="dxa"/>
            <w:shd w:val="clear" w:color="auto" w:fill="000000" w:themeFill="text1"/>
          </w:tcPr>
          <w:p w14:paraId="666D045A" w14:textId="77777777" w:rsidR="0031473A" w:rsidRPr="00701342" w:rsidRDefault="0031473A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eastAsia="Proxima Nova" w:hAnsi="Century Gothic" w:cs="Proxima Nova"/>
                <w:sz w:val="2"/>
                <w:szCs w:val="2"/>
              </w:rPr>
            </w:pPr>
          </w:p>
        </w:tc>
        <w:tc>
          <w:tcPr>
            <w:tcW w:w="6885" w:type="dxa"/>
            <w:shd w:val="clear" w:color="auto" w:fill="000000" w:themeFill="text1"/>
          </w:tcPr>
          <w:p w14:paraId="7F4CD372" w14:textId="77777777" w:rsidR="0031473A" w:rsidRPr="00701342" w:rsidRDefault="002470D5">
            <w:pPr>
              <w:widowControl w:val="0"/>
              <w:numPr>
                <w:ilvl w:val="0"/>
                <w:numId w:val="1"/>
              </w:numPr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</w:pPr>
            <w:r w:rsidRPr="00701342"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  <w:t>Almost always uses norm-referenced data.</w:t>
            </w:r>
          </w:p>
          <w:p w14:paraId="4158CC0D" w14:textId="77777777" w:rsidR="0031473A" w:rsidRPr="00701342" w:rsidRDefault="002470D5">
            <w:pPr>
              <w:widowControl w:val="0"/>
              <w:numPr>
                <w:ilvl w:val="0"/>
                <w:numId w:val="1"/>
              </w:numPr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</w:pPr>
            <w:r w:rsidRPr="00701342"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  <w:t>May include criterion reference data.</w:t>
            </w:r>
          </w:p>
          <w:p w14:paraId="0698F082" w14:textId="77777777" w:rsidR="0031473A" w:rsidRPr="00701342" w:rsidRDefault="002470D5">
            <w:pPr>
              <w:widowControl w:val="0"/>
              <w:numPr>
                <w:ilvl w:val="0"/>
                <w:numId w:val="1"/>
              </w:numPr>
              <w:spacing w:after="200"/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</w:pPr>
            <w:r w:rsidRPr="00701342"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  <w:t>May include intervention progress monitoring data to evaluate response to interventions.</w:t>
            </w:r>
          </w:p>
        </w:tc>
      </w:tr>
      <w:tr w:rsidR="0031473A" w:rsidRPr="00701342" w14:paraId="04100D63" w14:textId="77777777" w:rsidTr="002470D5">
        <w:tc>
          <w:tcPr>
            <w:tcW w:w="3570" w:type="dxa"/>
            <w:vAlign w:val="center"/>
          </w:tcPr>
          <w:p w14:paraId="642D4E58" w14:textId="77777777" w:rsidR="0031473A" w:rsidRPr="00701342" w:rsidRDefault="002470D5" w:rsidP="002470D5">
            <w:pPr>
              <w:widowControl w:val="0"/>
              <w:jc w:val="center"/>
              <w:rPr>
                <w:rFonts w:ascii="Century Gothic" w:eastAsia="Proxima Nova" w:hAnsi="Century Gothic" w:cs="Proxima Nova"/>
                <w:b/>
                <w:bCs/>
                <w:sz w:val="28"/>
                <w:szCs w:val="28"/>
              </w:rPr>
            </w:pPr>
            <w:r w:rsidRPr="00701342">
              <w:rPr>
                <w:rFonts w:ascii="Century Gothic" w:eastAsia="Proxima Nova" w:hAnsi="Century Gothic" w:cs="Proxima Nova"/>
                <w:b/>
                <w:bCs/>
                <w:sz w:val="28"/>
                <w:szCs w:val="28"/>
              </w:rPr>
              <w:t>Needs</w:t>
            </w:r>
          </w:p>
          <w:p w14:paraId="39237BE8" w14:textId="77777777" w:rsidR="0031473A" w:rsidRPr="00701342" w:rsidRDefault="002470D5" w:rsidP="002470D5">
            <w:pPr>
              <w:widowControl w:val="0"/>
              <w:jc w:val="center"/>
              <w:rPr>
                <w:rFonts w:ascii="Century Gothic" w:eastAsia="Proxima Nova" w:hAnsi="Century Gothic" w:cs="Proxima Nova"/>
                <w:b/>
                <w:bCs/>
                <w:sz w:val="28"/>
                <w:szCs w:val="28"/>
              </w:rPr>
            </w:pPr>
            <w:r w:rsidRPr="00701342">
              <w:rPr>
                <w:rFonts w:ascii="Century Gothic" w:eastAsia="Proxima Nova" w:hAnsi="Century Gothic" w:cs="Proxima Nova"/>
                <w:b/>
                <w:bCs/>
                <w:sz w:val="28"/>
                <w:szCs w:val="28"/>
              </w:rPr>
              <w:t>Identification</w:t>
            </w:r>
          </w:p>
        </w:tc>
        <w:tc>
          <w:tcPr>
            <w:tcW w:w="255" w:type="dxa"/>
          </w:tcPr>
          <w:p w14:paraId="21554960" w14:textId="77777777" w:rsidR="0031473A" w:rsidRPr="00701342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"/>
                <w:szCs w:val="2"/>
              </w:rPr>
            </w:pPr>
          </w:p>
        </w:tc>
        <w:tc>
          <w:tcPr>
            <w:tcW w:w="6885" w:type="dxa"/>
          </w:tcPr>
          <w:p w14:paraId="5FECB666" w14:textId="77777777" w:rsidR="0031473A" w:rsidRPr="00701342" w:rsidRDefault="002470D5">
            <w:pPr>
              <w:widowControl w:val="0"/>
              <w:numPr>
                <w:ilvl w:val="0"/>
                <w:numId w:val="4"/>
              </w:numPr>
              <w:spacing w:before="200"/>
              <w:rPr>
                <w:rFonts w:ascii="Century Gothic" w:eastAsia="Proxima Nova" w:hAnsi="Century Gothic" w:cs="Proxima Nova"/>
                <w:sz w:val="24"/>
                <w:szCs w:val="24"/>
              </w:rPr>
            </w:pPr>
            <w:r w:rsidRPr="00701342">
              <w:rPr>
                <w:rFonts w:ascii="Century Gothic" w:eastAsia="Proxima Nova" w:hAnsi="Century Gothic" w:cs="Proxima Nova"/>
                <w:sz w:val="24"/>
                <w:szCs w:val="24"/>
              </w:rPr>
              <w:t>Criterion-based and absolute levels of performance.</w:t>
            </w:r>
          </w:p>
          <w:p w14:paraId="171E4EAF" w14:textId="77777777" w:rsidR="0031473A" w:rsidRPr="00701342" w:rsidRDefault="002470D5">
            <w:pPr>
              <w:widowControl w:val="0"/>
              <w:numPr>
                <w:ilvl w:val="0"/>
                <w:numId w:val="4"/>
              </w:numPr>
              <w:rPr>
                <w:rFonts w:ascii="Century Gothic" w:eastAsia="Proxima Nova" w:hAnsi="Century Gothic" w:cs="Proxima Nova"/>
                <w:sz w:val="24"/>
                <w:szCs w:val="24"/>
              </w:rPr>
            </w:pPr>
            <w:r w:rsidRPr="00701342">
              <w:rPr>
                <w:rFonts w:ascii="Century Gothic" w:eastAsia="Proxima Nova" w:hAnsi="Century Gothic" w:cs="Proxima Nova"/>
                <w:sz w:val="24"/>
                <w:szCs w:val="24"/>
              </w:rPr>
              <w:t>Standardized scores only identify broad areas of deficits</w:t>
            </w:r>
          </w:p>
          <w:p w14:paraId="00BD4B12" w14:textId="77777777" w:rsidR="0031473A" w:rsidRPr="00701342" w:rsidRDefault="002470D5">
            <w:pPr>
              <w:widowControl w:val="0"/>
              <w:numPr>
                <w:ilvl w:val="0"/>
                <w:numId w:val="4"/>
              </w:numPr>
              <w:rPr>
                <w:rFonts w:ascii="Century Gothic" w:eastAsia="Proxima Nova" w:hAnsi="Century Gothic" w:cs="Proxima Nova"/>
                <w:sz w:val="24"/>
                <w:szCs w:val="24"/>
              </w:rPr>
            </w:pPr>
            <w:r w:rsidRPr="00701342">
              <w:rPr>
                <w:rFonts w:ascii="Century Gothic" w:eastAsia="Proxima Nova" w:hAnsi="Century Gothic" w:cs="Proxima Nova"/>
                <w:sz w:val="24"/>
                <w:szCs w:val="24"/>
              </w:rPr>
              <w:t>CAT or CBM assessment may be used for this</w:t>
            </w:r>
          </w:p>
          <w:p w14:paraId="62353EE2" w14:textId="77777777" w:rsidR="0031473A" w:rsidRPr="00701342" w:rsidRDefault="002470D5">
            <w:pPr>
              <w:widowControl w:val="0"/>
              <w:numPr>
                <w:ilvl w:val="0"/>
                <w:numId w:val="4"/>
              </w:numPr>
              <w:rPr>
                <w:rFonts w:ascii="Century Gothic" w:eastAsia="Proxima Nova" w:hAnsi="Century Gothic" w:cs="Proxima Nova"/>
                <w:sz w:val="24"/>
                <w:szCs w:val="24"/>
              </w:rPr>
            </w:pPr>
            <w:r w:rsidRPr="00701342">
              <w:rPr>
                <w:rFonts w:ascii="Century Gothic" w:eastAsia="Proxima Nova" w:hAnsi="Century Gothic" w:cs="Proxima Nova"/>
                <w:sz w:val="24"/>
                <w:szCs w:val="24"/>
              </w:rPr>
              <w:t>Goal is Identify specific skills for intervention</w:t>
            </w:r>
          </w:p>
          <w:p w14:paraId="78F5AD8E" w14:textId="77777777" w:rsidR="002470D5" w:rsidRPr="00701342" w:rsidRDefault="002470D5" w:rsidP="002470D5">
            <w:pPr>
              <w:widowControl w:val="0"/>
              <w:ind w:left="720"/>
              <w:rPr>
                <w:rFonts w:ascii="Century Gothic" w:eastAsia="Proxima Nova" w:hAnsi="Century Gothic" w:cs="Proxima Nova"/>
                <w:sz w:val="24"/>
                <w:szCs w:val="24"/>
              </w:rPr>
            </w:pPr>
          </w:p>
        </w:tc>
      </w:tr>
      <w:tr w:rsidR="0031473A" w:rsidRPr="00701342" w14:paraId="057350FB" w14:textId="77777777" w:rsidTr="002470D5">
        <w:trPr>
          <w:trHeight w:val="1176"/>
        </w:trPr>
        <w:tc>
          <w:tcPr>
            <w:tcW w:w="3570" w:type="dxa"/>
            <w:shd w:val="clear" w:color="auto" w:fill="8064A2" w:themeFill="accent4"/>
            <w:vAlign w:val="center"/>
          </w:tcPr>
          <w:p w14:paraId="76DE4416" w14:textId="77777777" w:rsidR="0031473A" w:rsidRPr="00701342" w:rsidRDefault="002470D5" w:rsidP="002470D5">
            <w:pPr>
              <w:widowControl w:val="0"/>
              <w:jc w:val="center"/>
              <w:rPr>
                <w:rFonts w:ascii="Century Gothic" w:eastAsia="Proxima Nova" w:hAnsi="Century Gothic" w:cs="Proxima Nova"/>
                <w:b/>
                <w:bCs/>
                <w:color w:val="FFFFFF"/>
                <w:sz w:val="28"/>
                <w:szCs w:val="28"/>
              </w:rPr>
            </w:pPr>
            <w:r w:rsidRPr="00701342">
              <w:rPr>
                <w:rFonts w:ascii="Century Gothic" w:eastAsia="Proxima Nova" w:hAnsi="Century Gothic" w:cs="Proxima Nova"/>
                <w:b/>
                <w:bCs/>
                <w:color w:val="FFFFFF"/>
                <w:sz w:val="28"/>
                <w:szCs w:val="28"/>
              </w:rPr>
              <w:t>Monitoring</w:t>
            </w:r>
          </w:p>
          <w:p w14:paraId="47E6F7E1" w14:textId="77777777" w:rsidR="0031473A" w:rsidRPr="00701342" w:rsidRDefault="002470D5" w:rsidP="002470D5">
            <w:pPr>
              <w:widowControl w:val="0"/>
              <w:jc w:val="center"/>
              <w:rPr>
                <w:rFonts w:ascii="Century Gothic" w:eastAsia="Proxima Nova" w:hAnsi="Century Gothic" w:cs="Proxima Nova"/>
                <w:b/>
                <w:bCs/>
                <w:color w:val="FFFFFF"/>
                <w:sz w:val="28"/>
                <w:szCs w:val="28"/>
              </w:rPr>
            </w:pPr>
            <w:r w:rsidRPr="00701342">
              <w:rPr>
                <w:rFonts w:ascii="Century Gothic" w:eastAsia="Proxima Nova" w:hAnsi="Century Gothic" w:cs="Proxima Nova"/>
                <w:b/>
                <w:bCs/>
                <w:color w:val="FFFFFF"/>
                <w:sz w:val="28"/>
                <w:szCs w:val="28"/>
              </w:rPr>
              <w:t>Progress</w:t>
            </w:r>
          </w:p>
        </w:tc>
        <w:tc>
          <w:tcPr>
            <w:tcW w:w="255" w:type="dxa"/>
            <w:shd w:val="clear" w:color="auto" w:fill="8064A2" w:themeFill="accent4"/>
          </w:tcPr>
          <w:p w14:paraId="02C03E32" w14:textId="77777777" w:rsidR="0031473A" w:rsidRPr="00701342" w:rsidRDefault="0031473A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"/>
                <w:szCs w:val="2"/>
              </w:rPr>
            </w:pPr>
          </w:p>
        </w:tc>
        <w:tc>
          <w:tcPr>
            <w:tcW w:w="6885" w:type="dxa"/>
            <w:shd w:val="clear" w:color="auto" w:fill="8064A2" w:themeFill="accent4"/>
          </w:tcPr>
          <w:p w14:paraId="241EB445" w14:textId="77777777" w:rsidR="0031473A" w:rsidRPr="00701342" w:rsidRDefault="002470D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</w:pPr>
            <w:r w:rsidRPr="00701342"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  <w:t>Measure a specific skill development over time.</w:t>
            </w:r>
          </w:p>
          <w:p w14:paraId="48F68612" w14:textId="77777777" w:rsidR="0031473A" w:rsidRPr="00701342" w:rsidRDefault="002470D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</w:pPr>
            <w:r w:rsidRPr="00701342">
              <w:rPr>
                <w:rFonts w:ascii="Century Gothic" w:eastAsia="Proxima Nova" w:hAnsi="Century Gothic" w:cs="Proxima Nova"/>
                <w:color w:val="FFFFFF"/>
                <w:sz w:val="24"/>
                <w:szCs w:val="24"/>
              </w:rPr>
              <w:t>Criterion-based assessments, same as what was used to identify needs or baseline performance</w:t>
            </w:r>
          </w:p>
          <w:p w14:paraId="34824A90" w14:textId="77777777" w:rsidR="0031473A" w:rsidRPr="00701342" w:rsidRDefault="0031473A">
            <w:pPr>
              <w:widowControl w:val="0"/>
              <w:spacing w:line="240" w:lineRule="auto"/>
              <w:ind w:left="720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</w:tr>
    </w:tbl>
    <w:p w14:paraId="0CAAD34C" w14:textId="77777777" w:rsidR="0031473A" w:rsidRPr="00701342" w:rsidRDefault="0031473A">
      <w:pPr>
        <w:rPr>
          <w:rFonts w:ascii="Century Gothic" w:eastAsia="Century Gothic" w:hAnsi="Century Gothic" w:cs="Century Gothic"/>
          <w:sz w:val="16"/>
          <w:szCs w:val="16"/>
        </w:rPr>
      </w:pPr>
    </w:p>
    <w:p w14:paraId="1078B698" w14:textId="77777777" w:rsidR="0031473A" w:rsidRPr="00701342" w:rsidRDefault="0031473A">
      <w:pPr>
        <w:rPr>
          <w:rFonts w:ascii="Century Gothic" w:eastAsia="Century Gothic" w:hAnsi="Century Gothic" w:cs="Century Gothic"/>
          <w:sz w:val="16"/>
          <w:szCs w:val="16"/>
        </w:rPr>
      </w:pPr>
    </w:p>
    <w:sectPr w:rsidR="0031473A" w:rsidRPr="00701342">
      <w:footerReference w:type="default" r:id="rId11"/>
      <w:pgSz w:w="12240" w:h="15840"/>
      <w:pgMar w:top="288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36575" w14:textId="77777777" w:rsidR="002470D5" w:rsidRDefault="002470D5">
      <w:pPr>
        <w:spacing w:line="240" w:lineRule="auto"/>
      </w:pPr>
      <w:r>
        <w:separator/>
      </w:r>
    </w:p>
  </w:endnote>
  <w:endnote w:type="continuationSeparator" w:id="0">
    <w:p w14:paraId="46E1CCA6" w14:textId="77777777" w:rsidR="002470D5" w:rsidRDefault="00247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A609" w14:textId="77777777" w:rsidR="0031473A" w:rsidRDefault="002470D5">
    <w:pPr>
      <w:widowControl w:val="0"/>
      <w:spacing w:line="240" w:lineRule="auto"/>
      <w:rPr>
        <w:i/>
      </w:rPr>
    </w:pPr>
    <w:r>
      <w:rPr>
        <w:i/>
      </w:rPr>
      <w:t>Materials from presentation presented to CADRE Hearing Officer training on February 6, 2024 by Dr. Sara Rich and Dr. Brit’ny Stein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AD15" w14:textId="77777777" w:rsidR="002470D5" w:rsidRDefault="002470D5">
      <w:pPr>
        <w:spacing w:line="240" w:lineRule="auto"/>
      </w:pPr>
      <w:r>
        <w:separator/>
      </w:r>
    </w:p>
  </w:footnote>
  <w:footnote w:type="continuationSeparator" w:id="0">
    <w:p w14:paraId="6E4E4EC2" w14:textId="77777777" w:rsidR="002470D5" w:rsidRDefault="002470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47A4"/>
    <w:multiLevelType w:val="multilevel"/>
    <w:tmpl w:val="3BDA6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54FBD"/>
    <w:multiLevelType w:val="multilevel"/>
    <w:tmpl w:val="B5806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A219C7"/>
    <w:multiLevelType w:val="multilevel"/>
    <w:tmpl w:val="5218B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2245E9"/>
    <w:multiLevelType w:val="multilevel"/>
    <w:tmpl w:val="610ED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3A"/>
    <w:rsid w:val="002470D5"/>
    <w:rsid w:val="0031473A"/>
    <w:rsid w:val="00701342"/>
    <w:rsid w:val="00C13C7F"/>
    <w:rsid w:val="00E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FB03"/>
  <w15:docId w15:val="{36E5B721-E094-4836-8BA7-BE4FD7C2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VFliObYMiTViqMUNgIBw+dkpA==">CgMxLjA4AHIhMU56T0Z1Zmc2Slk1ZFE1X0ZWMzBWZzY2Z1IzRkJ4SnFZ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45D93EE09FE48B755B103E8699EE0" ma:contentTypeVersion="18" ma:contentTypeDescription="Create a new document." ma:contentTypeScope="" ma:versionID="2aed24aca9a7c8605e8b13a3e0eef16e">
  <xsd:schema xmlns:xsd="http://www.w3.org/2001/XMLSchema" xmlns:xs="http://www.w3.org/2001/XMLSchema" xmlns:p="http://schemas.microsoft.com/office/2006/metadata/properties" xmlns:ns2="db903174-bb1c-4609-9d70-465268ead536" xmlns:ns3="d0cbbd92-a969-402e-8621-447322a11182" targetNamespace="http://schemas.microsoft.com/office/2006/metadata/properties" ma:root="true" ma:fieldsID="d4bf66c6f34808b7142419c124522b32" ns2:_="" ns3:_="">
    <xsd:import namespace="db903174-bb1c-4609-9d70-465268ead536"/>
    <xsd:import namespace="d0cbbd92-a969-402e-8621-447322a11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03174-bb1c-4609-9d70-465268ead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bd92-a969-402e-8621-447322a11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b6dc5-7623-4a1d-a01d-748b8cf9f295}" ma:internalName="TaxCatchAll" ma:showField="CatchAllData" ma:web="d0cbbd92-a969-402e-8621-447322a11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bbd92-a969-402e-8621-447322a11182" xsi:nil="true"/>
  </documentManagement>
</p:properties>
</file>

<file path=customXml/itemProps1.xml><?xml version="1.0" encoding="utf-8"?>
<ds:datastoreItem xmlns:ds="http://schemas.openxmlformats.org/officeDocument/2006/customXml" ds:itemID="{20F63EC9-2744-4E1F-9D57-8BB43AF1D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6A6DBAB7-6F00-4B77-B807-B3C8FDAFEC2F}"/>
</file>

<file path=customXml/itemProps4.xml><?xml version="1.0" encoding="utf-8"?>
<ds:datastoreItem xmlns:ds="http://schemas.openxmlformats.org/officeDocument/2006/customXml" ds:itemID="{AFD001EE-92BB-4774-ABA4-551F46E7736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1a44dc-498f-48ee-9505-6ea7f4acfef2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Manny Guendulay</dc:creator>
  <cp:lastModifiedBy>Manny Guendulay</cp:lastModifiedBy>
  <cp:revision>2</cp:revision>
  <dcterms:created xsi:type="dcterms:W3CDTF">2024-01-30T23:51:00Z</dcterms:created>
  <dcterms:modified xsi:type="dcterms:W3CDTF">2024-01-30T23:51:00Z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0x010100CFD9A3202A4F26459B362C66CF3250E6</vt:lpwstr>
  </property>
</Properties>
</file>